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42A" w:rsidRDefault="00D650D7">
      <w:r w:rsidRPr="00D650D7">
        <w:rPr>
          <w:noProof/>
        </w:rPr>
        <w:drawing>
          <wp:inline distT="0" distB="0" distL="0" distR="0">
            <wp:extent cx="5943600" cy="9251790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2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0D7" w:rsidRDefault="00D650D7">
      <w:r w:rsidRPr="00D650D7">
        <w:rPr>
          <w:noProof/>
        </w:rPr>
        <w:lastRenderedPageBreak/>
        <w:drawing>
          <wp:inline distT="0" distB="0" distL="0" distR="0">
            <wp:extent cx="5943600" cy="93623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36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5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D7"/>
    <w:rsid w:val="00D650D7"/>
    <w:rsid w:val="00ED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16E550-BFAC-493E-A36E-DD7D608C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ACES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Krol, Stanley J. (GSFC-441.0)[Lockheed Martin Space Systems Company]</dc:creator>
  <cp:keywords/>
  <dc:description/>
  <cp:lastModifiedBy>Krol, Stanley J. (GSFC-441.0)[Lockheed Martin Space Systems Company]</cp:lastModifiedBy>
  <cp:revision>1</cp:revision>
  <dcterms:created xsi:type="dcterms:W3CDTF">2017-06-02T03:18:00Z</dcterms:created>
  <dcterms:modified xsi:type="dcterms:W3CDTF">2017-06-02T03:20:00Z</dcterms:modified>
</cp:coreProperties>
</file>